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Egyptian coastal lakes review protocol</w:t>
      </w:r>
    </w:p>
    <w:p>
      <w:r>
        <w:t>Consolidated statement with dated amendment | Version 1.1 | 28 September 2026</w:t>
      </w:r>
    </w:p>
    <w:p>
      <w:r>
        <w:rPr>
          <w:b w:val="0"/>
        </w:rPr>
      </w:r>
      <w:r>
        <w:rPr>
          <w:b/>
        </w:rPr>
        <w:t>Review question.</w:t>
      </w:r>
      <w:r>
        <w:rPr>
          <w:b w:val="0"/>
        </w:rPr>
        <w:t xml:space="preserve"> When and through which pathways did Egypt’s Mediterranean lagoons acquire their modern configurations? How did changing waterscapes and human societies influence one another through the Holocene, especially during Roman, Late Antique, medieval/Islamic, Ottoman and modern periods? Does recent ecological turnover exceed earlier variability once dating uncertainty, mixing and unequal sampling are considered?</w:t>
      </w:r>
    </w:p>
    <w:p>
      <w:r>
        <w:rPr>
          <w:b w:val="0"/>
        </w:rPr>
      </w:r>
      <w:r>
        <w:rPr>
          <w:b/>
        </w:rPr>
        <w:t>Scope.</w:t>
      </w:r>
      <w:r>
        <w:rPr>
          <w:b w:val="0"/>
        </w:rPr>
        <w:t xml:space="preserve"> Burullus and Manzala are the central cases. Mariut is a historical and geomorphic comparison, entering quantitative analysis only if archive accessibility, proxies and chronology qualify. Edku and Bardawil provide contextual comparison; Bardawil is not an assumed unaffected control. MEDIBA is the proposed Smithsonian collections basis; adviser agreement, holdings and permissions remain to be confirmed.</w:t>
      </w:r>
    </w:p>
    <w:p>
      <w:r>
        <w:rPr>
          <w:b w:val="0"/>
        </w:rPr>
      </w:r>
      <w:r>
        <w:rPr>
          <w:b/>
        </w:rPr>
        <w:t>Temporal design.</w:t>
      </w:r>
      <w:r>
        <w:rPr>
          <w:b w:val="0"/>
        </w:rPr>
        <w:t xml:space="preserve"> The last 150–200 years are the principal rate-analysis window, with historical evidence from approximately 1800 CE. The last 500 years bridge inherited conditions and expanding engineering; the last two millennia address reciprocal society–waterscape interactions; the mid-to-late Holocene constrains landscape inheritance and earlier interactions. No interval is a stationary pristine baseline. Retain the original search cutoff of 27 September 2026 unless a search extension is documented; archive end dates independently limit inference.</w:t>
      </w:r>
    </w:p>
    <w:p>
      <w:r>
        <w:rPr>
          <w:b w:val="0"/>
        </w:rPr>
      </w:r>
      <w:r>
        <w:rPr>
          <w:b/>
        </w:rPr>
        <w:t>Evidence and extraction.</w:t>
      </w:r>
      <w:r>
        <w:rPr>
          <w:b w:val="0"/>
        </w:rPr>
        <w:t xml:space="preserve"> Link sedimentary, ecological, archaeological, documentary, cartographic and observational evidence. Extract lake or sector × period × variable × method, tied to its underlying dataset or source. Record dating basis and uncertainty, spatial precision, directness, preservation and duplicate publications. Historical-source recovery is an explicit research task; adding a question does not establish its answer.</w:t>
      </w:r>
    </w:p>
    <w:p>
      <w:r>
        <w:rPr>
          <w:b w:val="0"/>
        </w:rPr>
      </w:r>
      <w:r>
        <w:rPr>
          <w:b/>
        </w:rPr>
        <w:t>Inference rules.</w:t>
      </w:r>
      <w:r>
        <w:rPr>
          <w:b w:val="0"/>
        </w:rPr>
        <w:t xml:space="preserve"> Evaluate chronology, effective resolution, assemblage completeness and spatial replication separately. Use multi-marker Bayesian age models, rate metrics, GAM derivatives, change points and trajectories only where inputs justify them. Propagate age uncertainty; retain preservation gaps. Treat 1964–1965 and other interventions as hypothesis windows, never imposed response breakpoints or dating anchors. Statistical shifts alone do not establish causality, thresholds or hysteresis.</w:t>
      </w:r>
    </w:p>
    <w:p>
      <w:r>
        <w:rPr>
          <w:b w:val="0"/>
        </w:rPr>
      </w:r>
      <w:r>
        <w:rPr>
          <w:b/>
        </w:rPr>
        <w:t>Synthesis.</w:t>
      </w:r>
      <w:r>
        <w:rPr>
          <w:b w:val="0"/>
        </w:rPr>
        <w:t xml:space="preserve"> Test effects in both directions: waterscape change on settlement and resources, and management on lagoon conditions. Separate observations from interpretations. Define restoration reference envelopes and monitoring needs without claiming unverified recovery. If chronology is inadequate, report contextual histories and inference limits rather than ecological acceleration.</w:t>
      </w:r>
    </w:p>
    <w:p>
      <w:r>
        <w:rPr>
          <w:b w:val="0"/>
        </w:rPr>
      </w:r>
      <w:r>
        <w:rPr>
          <w:b/>
        </w:rPr>
        <w:t>Amendment record.</w:t>
      </w:r>
      <w:r>
        <w:rPr>
          <w:b w:val="0"/>
        </w:rPr>
        <w:t xml:space="preserve"> This 28 September amendment adds the reciprocal historical axis, fixes case-study priority, formalizes four temporal windows and replaces compulsory intervention boundaries with hypotheses. The original frozen v1.0 statement of 27 September is retained unchanged in the archive. Further scope or rule changes require dated amendments.</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0" w:lineRule="auto"/>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