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Egyptian coastal lakes review protocol</w:t>
      </w:r>
    </w:p>
    <w:p>
      <w:r>
        <w:rPr>
          <w:sz w:val="20"/>
        </w:rPr>
        <w:t>Frozen statement v1.0  |  27 September 2026  |  Hader Sheisha</w:t>
      </w:r>
    </w:p>
    <w:p>
      <w:r>
        <w:rPr>
          <w:b/>
        </w:rPr>
        <w:t xml:space="preserve">Review question. </w:t>
      </w:r>
      <w:r>
        <w:t>What does the available evidence establish about the timing, magnitude and rate of environmental and ecological change in Egypt’s Mediterranean coastal lakes since approximately 1800 CE, how do recent trajectories compare with longer-term variability, and how convincingly can observed changes be attributed to Nile regulation, drainage and pollution, habitat conversion, marine exchange and climatic forcing?</w:t>
      </w:r>
    </w:p>
    <w:p>
      <w:r>
        <w:rPr>
          <w:b/>
        </w:rPr>
        <w:t xml:space="preserve">Design and scope. </w:t>
      </w:r>
      <w:r>
        <w:t>We will conduct a systematic evidence map followed by a critical, process-based synthesis. Manzala, Burullus and Mariut are the focal archive systems; Edku extends the regional comparison, and Bardawil provides a contrasting lagoon, not an unaffected control. Adjacent coastal and upstream records enter only where a mechanism links them to these lakes. The Red Sea and future projections fall outside the core review.</w:t>
      </w:r>
    </w:p>
    <w:p>
      <w:r>
        <w:rPr>
          <w:b/>
        </w:rPr>
        <w:t xml:space="preserve">Temporal framework. </w:t>
      </w:r>
      <w:r>
        <w:t>The principal window is approximately 1800 CE to 27 September 2026. Records spanning the last 500 years, 2,000 years and mid-to-late Holocene provide nested context where available. Long intervals will not be treated as stationary natural baselines. The 1964–1965 hydrological transition is an explanatory hypothesis window, not a compulsory ecological breakpoint or an imposed dating control.</w:t>
      </w:r>
    </w:p>
    <w:p>
      <w:r>
        <w:rPr>
          <w:b/>
        </w:rPr>
        <w:t xml:space="preserve">Search and eligibility. </w:t>
      </w:r>
      <w:r>
        <w:t>Searches will cover Web of Science, Scopus, GeoRef and Aquatic Sciences and Fisheries Abstracts, supplemented by citation tracing, institutional repositories and official archives. Database access limitations, exact strings, search dates and screening decisions will be logged. English, Arabic and French records are eligible, without a lower publication-date limit. Include traceable empirical reconstructions, repeated observations, historical maps and validated models; retain official records separately for intervention history. Spatial snapshots may inform mechanisms but cannot establish temporal trends. Untraceable numerical claims will not support synthesis.</w:t>
      </w:r>
    </w:p>
    <w:p>
      <w:r>
        <w:rPr>
          <w:b/>
        </w:rPr>
        <w:t xml:space="preserve">Extraction and appraisal. </w:t>
      </w:r>
      <w:r>
        <w:t>The extraction unit is lake or sector × period × variable × method, linked to its underlying core, survey or dataset to prevent duplicate counting. Extract physical, geochemical, habitat and biological outcomes, chronology, effective resolution, uncertainty, spatial coverage and raw-data availability. Appraise dating, temporal design, representativeness, measurement comparability, uncertainty, causal discrimination and transparency separately. Publication or centimetre-scale sampling alone does not establish analytical readiness.</w:t>
      </w:r>
    </w:p>
    <w:p>
      <w:r>
        <w:rPr>
          <w:b/>
        </w:rPr>
        <w:t xml:space="preserve">Synthesis and decision rules. </w:t>
      </w:r>
      <w:r>
        <w:t>Map evidence coverage and reconstruct lake-specific histories before comparing lakes. Treat ecological acceleration, synchrony and delayed response as hypotheses. Calculate assemblage rates only from sufficiently complete matrices with defensible chronology; propagate age uncertainty and test temporal aggregation. Do not infer continuous trajectories across preservation gaps or pool coarse Holocene records with recent records. Evaluate competing drivers and separate observed change from causal interpretation; quantitative pooling requires comparable outcomes and temporal support.</w:t>
      </w:r>
    </w:p>
    <w:p>
      <w:r>
        <w:rPr>
          <w:b/>
        </w:rPr>
        <w:t xml:space="preserve">Freeze and amendments. </w:t>
      </w:r>
      <w:r>
        <w:t>This statement follows preliminary scoping and existing project drafts; it is not a prospective preregistration or evidence that systematic screening is complete. It fixes the scope for subsequent screening and synthesis. Any change to the question, eligibility, temporal boundaries or analytical rules must receive a dated, justified amendment. Search and reporting records will follow ROSES and PRISMA-S as specified in the parent protocol.</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Egyptian coastal lakes review protocol</dc:title>
  <dc:subject>Frozen one page protocol statement v1.0</dc:subject>
  <dc:creator>Hader Sheisha</dc:creator>
  <cp:keywords/>
  <dc:description>generated by python-docx</dc:description>
  <cp:lastModifiedBy/>
  <cp:revision>1</cp:revision>
  <dcterms:created xsi:type="dcterms:W3CDTF">2013-12-23T23:15:00Z</dcterms:created>
  <dcterms:modified xsi:type="dcterms:W3CDTF">2013-12-23T23:15:00Z</dcterms:modified>
  <cp:category/>
</cp:coreProperties>
</file>